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18" w:rsidRDefault="00F26615" w:rsidP="005437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7696200"/>
            <wp:effectExtent l="19050" t="0" r="0" b="0"/>
            <wp:docPr id="3" name="Picture 0" descr="Amphibian phyl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phibian phylo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18" w:rsidRPr="00937561" w:rsidRDefault="00543718" w:rsidP="00543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</w:t>
      </w:r>
      <w:r w:rsidR="009356E4">
        <w:rPr>
          <w:rFonts w:ascii="Times New Roman" w:hAnsi="Times New Roman"/>
          <w:b/>
          <w:sz w:val="24"/>
          <w:szCs w:val="24"/>
        </w:rPr>
        <w:t>1</w:t>
      </w:r>
      <w:r w:rsidRPr="00937561">
        <w:rPr>
          <w:rFonts w:ascii="Times New Roman" w:hAnsi="Times New Roman"/>
          <w:b/>
          <w:sz w:val="24"/>
          <w:szCs w:val="24"/>
        </w:rPr>
        <w:t>:</w:t>
      </w:r>
      <w:r w:rsidRPr="00937561">
        <w:rPr>
          <w:rFonts w:ascii="Times New Roman" w:hAnsi="Times New Roman"/>
          <w:sz w:val="24"/>
          <w:szCs w:val="24"/>
        </w:rPr>
        <w:t xml:space="preserve"> Amphibian phylogeny used in our analyses, reduced from </w:t>
      </w:r>
      <w:proofErr w:type="spellStart"/>
      <w:r w:rsidRPr="00937561">
        <w:rPr>
          <w:rFonts w:ascii="Times New Roman" w:hAnsi="Times New Roman"/>
          <w:sz w:val="24"/>
          <w:szCs w:val="24"/>
        </w:rPr>
        <w:t>Pyron</w:t>
      </w:r>
      <w:proofErr w:type="spellEnd"/>
      <w:r w:rsidRPr="00937561">
        <w:rPr>
          <w:rFonts w:ascii="Times New Roman" w:hAnsi="Times New Roman"/>
          <w:sz w:val="24"/>
          <w:szCs w:val="24"/>
        </w:rPr>
        <w:t xml:space="preserve"> et al. (2011). </w:t>
      </w:r>
      <w:r w:rsidRPr="00937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Branch lengths represent the number of substitutions per nucleotide position.</w:t>
      </w:r>
    </w:p>
    <w:p w:rsidR="00543718" w:rsidRDefault="00F26615" w:rsidP="00543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5943600" cy="7696200"/>
            <wp:effectExtent l="0" t="0" r="0" b="0"/>
            <wp:docPr id="4" name="Picture 2" descr="Snake phyl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ke phyl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18" w:rsidRDefault="00543718" w:rsidP="00543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</w:t>
      </w:r>
      <w:r w:rsidR="009356E4">
        <w:rPr>
          <w:rFonts w:ascii="Times New Roman" w:hAnsi="Times New Roman"/>
          <w:b/>
          <w:sz w:val="24"/>
          <w:szCs w:val="24"/>
        </w:rPr>
        <w:t>2</w:t>
      </w:r>
      <w:r w:rsidRPr="007138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Snake phylogeny used in our analyses, reduced from </w:t>
      </w:r>
      <w:proofErr w:type="spellStart"/>
      <w:r>
        <w:rPr>
          <w:rFonts w:ascii="Times New Roman" w:hAnsi="Times New Roman"/>
          <w:sz w:val="24"/>
          <w:szCs w:val="24"/>
        </w:rPr>
        <w:t>Pyron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Wiens</w:t>
      </w:r>
      <w:proofErr w:type="spellEnd"/>
      <w:r>
        <w:rPr>
          <w:rFonts w:ascii="Times New Roman" w:hAnsi="Times New Roman"/>
          <w:sz w:val="24"/>
          <w:szCs w:val="24"/>
        </w:rPr>
        <w:t xml:space="preserve"> (2011). </w:t>
      </w:r>
      <w:r w:rsidRPr="00937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Branch lengths represent the number of substitutions per nucleotide position.</w:t>
      </w:r>
    </w:p>
    <w:p w:rsidR="00543718" w:rsidRPr="004D2EC3" w:rsidRDefault="00543718" w:rsidP="00543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EC3">
        <w:rPr>
          <w:rFonts w:ascii="Times New Roman" w:hAnsi="Times New Roman"/>
          <w:b/>
          <w:sz w:val="24"/>
          <w:szCs w:val="24"/>
        </w:rPr>
        <w:lastRenderedPageBreak/>
        <w:t>Table S1:</w:t>
      </w:r>
      <w:r w:rsidRPr="004D2EC3">
        <w:rPr>
          <w:rFonts w:ascii="Times New Roman" w:hAnsi="Times New Roman"/>
          <w:sz w:val="24"/>
          <w:szCs w:val="24"/>
        </w:rPr>
        <w:t xml:space="preserve"> Results from Phylogenetic </w:t>
      </w:r>
      <w:r w:rsidR="00E34A1D" w:rsidRPr="004D2EC3">
        <w:rPr>
          <w:rFonts w:ascii="Times New Roman" w:hAnsi="Times New Roman"/>
          <w:sz w:val="24"/>
          <w:szCs w:val="24"/>
        </w:rPr>
        <w:t>G</w:t>
      </w:r>
      <w:r w:rsidRPr="004D2EC3">
        <w:rPr>
          <w:rFonts w:ascii="Times New Roman" w:hAnsi="Times New Roman"/>
          <w:sz w:val="24"/>
          <w:szCs w:val="24"/>
        </w:rPr>
        <w:t xml:space="preserve">eneralized </w:t>
      </w:r>
      <w:r w:rsidR="00E34A1D" w:rsidRPr="004D2EC3">
        <w:rPr>
          <w:rFonts w:ascii="Times New Roman" w:hAnsi="Times New Roman"/>
          <w:sz w:val="24"/>
          <w:szCs w:val="24"/>
        </w:rPr>
        <w:t>L</w:t>
      </w:r>
      <w:r w:rsidRPr="004D2EC3">
        <w:rPr>
          <w:rFonts w:ascii="Times New Roman" w:hAnsi="Times New Roman"/>
          <w:sz w:val="24"/>
          <w:szCs w:val="24"/>
        </w:rPr>
        <w:t xml:space="preserve">east </w:t>
      </w:r>
      <w:r w:rsidR="00E34A1D" w:rsidRPr="004D2EC3">
        <w:rPr>
          <w:rFonts w:ascii="Times New Roman" w:hAnsi="Times New Roman"/>
          <w:sz w:val="24"/>
          <w:szCs w:val="24"/>
        </w:rPr>
        <w:t>S</w:t>
      </w:r>
      <w:r w:rsidRPr="004D2EC3">
        <w:rPr>
          <w:rFonts w:ascii="Times New Roman" w:hAnsi="Times New Roman"/>
          <w:sz w:val="24"/>
          <w:szCs w:val="24"/>
        </w:rPr>
        <w:t>quares (PGLS), examining the effects of maximum body size and being chemically defended on longevity in amphibians (</w:t>
      </w:r>
      <w:r w:rsidRPr="004D2EC3">
        <w:rPr>
          <w:rFonts w:ascii="Times New Roman" w:hAnsi="Times New Roman"/>
          <w:i/>
          <w:sz w:val="24"/>
          <w:szCs w:val="24"/>
        </w:rPr>
        <w:t>n</w:t>
      </w:r>
      <w:r w:rsidRPr="004D2EC3">
        <w:rPr>
          <w:rFonts w:ascii="Times New Roman" w:hAnsi="Times New Roman"/>
          <w:sz w:val="24"/>
          <w:szCs w:val="24"/>
        </w:rPr>
        <w:t xml:space="preserve"> = 106) and advanced snakes (</w:t>
      </w:r>
      <w:r w:rsidRPr="004D2EC3">
        <w:rPr>
          <w:rFonts w:ascii="Times New Roman" w:hAnsi="Times New Roman"/>
          <w:i/>
          <w:sz w:val="24"/>
          <w:szCs w:val="24"/>
        </w:rPr>
        <w:t>n</w:t>
      </w:r>
      <w:r w:rsidRPr="004D2EC3">
        <w:rPr>
          <w:rFonts w:ascii="Times New Roman" w:hAnsi="Times New Roman"/>
          <w:sz w:val="24"/>
          <w:szCs w:val="24"/>
        </w:rPr>
        <w:t xml:space="preserve"> = 102) when the correlation structure based on a Brownian, </w:t>
      </w:r>
      <w:r w:rsidRPr="004D2EC3">
        <w:rPr>
          <w:rStyle w:val="Emphasis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Ornstein</w:t>
      </w:r>
      <w:r w:rsidRPr="004D2E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4D2EC3">
        <w:rPr>
          <w:rStyle w:val="Emphasis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Uhlenbeck</w:t>
      </w:r>
      <w:proofErr w:type="spellEnd"/>
      <w:r w:rsidRPr="004D2EC3">
        <w:rPr>
          <w:rFonts w:ascii="Times New Roman" w:hAnsi="Times New Roman"/>
          <w:sz w:val="24"/>
          <w:szCs w:val="24"/>
        </w:rPr>
        <w:t xml:space="preserve">, or </w:t>
      </w:r>
      <w:proofErr w:type="spellStart"/>
      <w:r w:rsidRPr="004D2EC3">
        <w:rPr>
          <w:rFonts w:ascii="Times New Roman" w:hAnsi="Times New Roman"/>
          <w:sz w:val="24"/>
          <w:szCs w:val="24"/>
        </w:rPr>
        <w:t>Grafen</w:t>
      </w:r>
      <w:proofErr w:type="spellEnd"/>
      <w:r w:rsidRPr="004D2EC3">
        <w:rPr>
          <w:rFonts w:ascii="Times New Roman" w:hAnsi="Times New Roman"/>
          <w:sz w:val="24"/>
          <w:szCs w:val="24"/>
        </w:rPr>
        <w:t xml:space="preserve"> </w:t>
      </w:r>
      <w:r w:rsidRPr="004D2EC3">
        <w:rPr>
          <w:rStyle w:val="Emphasis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model. </w:t>
      </w:r>
      <w:r w:rsidRPr="004D2EC3">
        <w:rPr>
          <w:rFonts w:ascii="Times New Roman" w:hAnsi="Times New Roman"/>
          <w:sz w:val="24"/>
          <w:szCs w:val="24"/>
        </w:rPr>
        <w:t xml:space="preserve">Results from analyses with Type I sum of squares are shown. Akaike’s Information criterion (AIC) values were used to compare </w:t>
      </w:r>
      <w:r w:rsidR="00E34A1D" w:rsidRPr="004D2EC3">
        <w:rPr>
          <w:rFonts w:ascii="Times New Roman" w:hAnsi="Times New Roman"/>
          <w:sz w:val="24"/>
          <w:szCs w:val="24"/>
        </w:rPr>
        <w:t>the parsimony</w:t>
      </w:r>
      <w:r w:rsidRPr="004D2EC3">
        <w:rPr>
          <w:rFonts w:ascii="Times New Roman" w:hAnsi="Times New Roman"/>
          <w:sz w:val="24"/>
          <w:szCs w:val="24"/>
        </w:rPr>
        <w:t xml:space="preserve"> of phylogenetic generalized least squares models that used different correlation structures.</w:t>
      </w:r>
    </w:p>
    <w:p w:rsidR="00543718" w:rsidRPr="003A71B5" w:rsidRDefault="00543718" w:rsidP="00543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450" w:type="dxa"/>
        <w:tblInd w:w="93" w:type="dxa"/>
        <w:tblLook w:val="04A0" w:firstRow="1" w:lastRow="0" w:firstColumn="1" w:lastColumn="0" w:noHBand="0" w:noVBand="1"/>
      </w:tblPr>
      <w:tblGrid>
        <w:gridCol w:w="1292"/>
        <w:gridCol w:w="1084"/>
        <w:gridCol w:w="1173"/>
        <w:gridCol w:w="938"/>
        <w:gridCol w:w="941"/>
        <w:gridCol w:w="1007"/>
        <w:gridCol w:w="941"/>
        <w:gridCol w:w="1170"/>
      </w:tblGrid>
      <w:tr w:rsidR="00543718" w:rsidRPr="007B1914" w:rsidTr="007B1914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  <w:t>Taxon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  <w:t>Model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  <w:t>Term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</w:pPr>
            <w:proofErr w:type="spellStart"/>
            <w:r w:rsidRPr="003A71B5"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  <w:t>numDF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  <w:t>F-value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  <w:t>p-value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  <w:t>AIC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b/>
                <w:bCs/>
                <w:color w:val="000000"/>
                <w:lang w:eastAsia="en-CA"/>
              </w:rPr>
              <w:t>delta-AIC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Amphibians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Brownian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(Intercept)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1.126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0.291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801.493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85.286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E34A1D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S</w:t>
            </w:r>
            <w:r w:rsidR="00543718"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ize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20.728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E34A1D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T</w:t>
            </w:r>
            <w:r w:rsidR="00543718"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oxic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5.249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OU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(Intercept)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261.373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716.207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0.000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α=207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size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51.914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toxic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7.937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proofErr w:type="spellStart"/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Grafen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(Intercept)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261.463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716.254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0.046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λ&lt;0.001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size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52.038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toxic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7.911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Snakes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Brownian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(Intercept)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8.159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676.806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18.495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size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18.156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toxic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0.822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OU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(Intercept)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74.657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663.061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4.750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α=0.167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size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28.353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toxic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0.913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proofErr w:type="spellStart"/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Grafen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(Intercept)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28.716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&lt;.0001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658.311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0.000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λ=0.296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size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16.206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  <w:tr w:rsidR="00543718" w:rsidRPr="007B1914" w:rsidTr="007B191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toxic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0.971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718" w:rsidRPr="003A71B5" w:rsidRDefault="00543718" w:rsidP="007B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  <w:r w:rsidRPr="003A71B5">
              <w:rPr>
                <w:rFonts w:ascii="Times New Roman" w:eastAsia="Times New Roman" w:hAnsi="Times New Roman"/>
                <w:color w:val="000000"/>
                <w:lang w:eastAsia="en-CA"/>
              </w:rPr>
              <w:t> </w:t>
            </w:r>
          </w:p>
        </w:tc>
      </w:tr>
    </w:tbl>
    <w:p w:rsidR="00543718" w:rsidRDefault="00543718" w:rsidP="00543718">
      <w:pPr>
        <w:rPr>
          <w:rFonts w:ascii="Times New Roman" w:hAnsi="Times New Roman"/>
          <w:sz w:val="24"/>
          <w:szCs w:val="24"/>
        </w:rPr>
      </w:pPr>
    </w:p>
    <w:p w:rsidR="00543718" w:rsidRDefault="00543718" w:rsidP="0071385D">
      <w:pPr>
        <w:rPr>
          <w:rFonts w:ascii="Times New Roman" w:hAnsi="Times New Roman"/>
          <w:sz w:val="24"/>
          <w:szCs w:val="24"/>
        </w:rPr>
      </w:pPr>
    </w:p>
    <w:p w:rsidR="00DD443C" w:rsidRDefault="00F26615" w:rsidP="00DD443C">
      <w:r>
        <w:rPr>
          <w:noProof/>
          <w:lang w:eastAsia="en-CA"/>
        </w:rPr>
        <w:lastRenderedPageBreak/>
        <w:drawing>
          <wp:inline distT="0" distB="0" distL="0" distR="0">
            <wp:extent cx="5943600" cy="4133850"/>
            <wp:effectExtent l="19050" t="0" r="0" b="0"/>
            <wp:docPr id="5" name="Picture 1" descr="BS problem - Figrue Blanco and Sherman 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problem - Figrue Blanco and Sherman d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3C" w:rsidRPr="00AA6882" w:rsidRDefault="00DD443C">
      <w:pPr>
        <w:rPr>
          <w:rFonts w:ascii="Times New Roman" w:hAnsi="Times New Roman"/>
          <w:sz w:val="24"/>
          <w:szCs w:val="24"/>
        </w:rPr>
      </w:pPr>
      <w:r w:rsidRPr="00DD443C">
        <w:rPr>
          <w:rFonts w:ascii="Times New Roman" w:hAnsi="Times New Roman"/>
          <w:b/>
          <w:sz w:val="24"/>
          <w:szCs w:val="24"/>
        </w:rPr>
        <w:t>Figure S</w:t>
      </w:r>
      <w:r w:rsidR="009356E4">
        <w:rPr>
          <w:rFonts w:ascii="Times New Roman" w:hAnsi="Times New Roman"/>
          <w:b/>
          <w:sz w:val="24"/>
          <w:szCs w:val="24"/>
        </w:rPr>
        <w:t>3</w:t>
      </w:r>
      <w:r w:rsidRPr="00DD443C">
        <w:rPr>
          <w:rFonts w:ascii="Times New Roman" w:hAnsi="Times New Roman"/>
          <w:sz w:val="24"/>
          <w:szCs w:val="24"/>
        </w:rPr>
        <w:t>: Mean</w:t>
      </w:r>
      <w:r w:rsidR="00320C3A">
        <w:rPr>
          <w:rFonts w:ascii="Times New Roman" w:hAnsi="Times New Roman"/>
          <w:sz w:val="24"/>
          <w:szCs w:val="24"/>
        </w:rPr>
        <w:t xml:space="preserve"> (±SE)</w:t>
      </w:r>
      <w:r w:rsidRPr="00DD443C">
        <w:rPr>
          <w:rFonts w:ascii="Times New Roman" w:hAnsi="Times New Roman"/>
          <w:sz w:val="24"/>
          <w:szCs w:val="24"/>
        </w:rPr>
        <w:t xml:space="preserve"> maximum longevities for chemically protected and unprotected species (as classified by Blanco and Sherman 2005) within families of </w:t>
      </w:r>
      <w:r w:rsidR="00C62D9F">
        <w:rPr>
          <w:rFonts w:ascii="Times New Roman" w:hAnsi="Times New Roman"/>
          <w:sz w:val="24"/>
          <w:szCs w:val="24"/>
        </w:rPr>
        <w:t>a</w:t>
      </w:r>
      <w:r w:rsidRPr="00DD443C">
        <w:rPr>
          <w:rFonts w:ascii="Times New Roman" w:hAnsi="Times New Roman"/>
          <w:sz w:val="24"/>
          <w:szCs w:val="24"/>
        </w:rPr>
        <w:t>mphibia</w:t>
      </w:r>
      <w:r w:rsidR="00C62D9F">
        <w:rPr>
          <w:rFonts w:ascii="Times New Roman" w:hAnsi="Times New Roman"/>
          <w:sz w:val="24"/>
          <w:szCs w:val="24"/>
        </w:rPr>
        <w:t xml:space="preserve">ns </w:t>
      </w:r>
      <w:r w:rsidR="00C62D9F" w:rsidRPr="00DD443C">
        <w:rPr>
          <w:rFonts w:ascii="Times New Roman" w:hAnsi="Times New Roman"/>
          <w:sz w:val="24"/>
          <w:szCs w:val="24"/>
        </w:rPr>
        <w:t>(</w:t>
      </w:r>
      <w:r w:rsidR="00F26615">
        <w:rPr>
          <w:rFonts w:ascii="Times New Roman" w:hAnsi="Times New Roman"/>
          <w:sz w:val="24"/>
          <w:szCs w:val="24"/>
        </w:rPr>
        <w:t>left</w:t>
      </w:r>
      <w:r w:rsidR="00C62D9F" w:rsidRPr="00DD443C">
        <w:rPr>
          <w:rFonts w:ascii="Times New Roman" w:hAnsi="Times New Roman"/>
          <w:sz w:val="24"/>
          <w:szCs w:val="24"/>
        </w:rPr>
        <w:t>)</w:t>
      </w:r>
      <w:r w:rsidR="00C62D9F">
        <w:rPr>
          <w:rFonts w:ascii="Times New Roman" w:hAnsi="Times New Roman"/>
          <w:sz w:val="24"/>
          <w:szCs w:val="24"/>
        </w:rPr>
        <w:t xml:space="preserve">, and snakes </w:t>
      </w:r>
      <w:r w:rsidR="00F26615">
        <w:rPr>
          <w:rFonts w:ascii="Times New Roman" w:hAnsi="Times New Roman"/>
          <w:sz w:val="24"/>
          <w:szCs w:val="24"/>
        </w:rPr>
        <w:t>(right</w:t>
      </w:r>
      <w:r w:rsidR="00C62D9F">
        <w:rPr>
          <w:rFonts w:ascii="Times New Roman" w:hAnsi="Times New Roman"/>
          <w:sz w:val="24"/>
          <w:szCs w:val="24"/>
        </w:rPr>
        <w:t>).</w:t>
      </w:r>
      <w:r w:rsidRPr="00DD443C">
        <w:rPr>
          <w:rFonts w:ascii="Times New Roman" w:hAnsi="Times New Roman"/>
          <w:sz w:val="24"/>
          <w:szCs w:val="24"/>
        </w:rPr>
        <w:t xml:space="preserve"> Note that 11 out of 17 amphibian families and 4 out of 5 snake families contain representatives of only </w:t>
      </w:r>
      <w:r w:rsidR="0093777F">
        <w:rPr>
          <w:rFonts w:ascii="Times New Roman" w:hAnsi="Times New Roman"/>
          <w:sz w:val="24"/>
          <w:szCs w:val="24"/>
        </w:rPr>
        <w:t xml:space="preserve">chemically protected </w:t>
      </w:r>
      <w:r w:rsidRPr="00DD443C">
        <w:rPr>
          <w:rFonts w:ascii="Times New Roman" w:hAnsi="Times New Roman"/>
          <w:sz w:val="24"/>
          <w:szCs w:val="24"/>
        </w:rPr>
        <w:t>or non-</w:t>
      </w:r>
      <w:r w:rsidR="0093777F">
        <w:rPr>
          <w:rFonts w:ascii="Times New Roman" w:hAnsi="Times New Roman"/>
          <w:sz w:val="24"/>
          <w:szCs w:val="24"/>
        </w:rPr>
        <w:t>protected</w:t>
      </w:r>
      <w:r w:rsidRPr="00DD443C">
        <w:rPr>
          <w:rFonts w:ascii="Times New Roman" w:hAnsi="Times New Roman"/>
          <w:sz w:val="24"/>
          <w:szCs w:val="24"/>
        </w:rPr>
        <w:t xml:space="preserve"> groups.</w:t>
      </w:r>
      <w:r w:rsidR="00320C3A">
        <w:rPr>
          <w:rFonts w:ascii="Times New Roman" w:hAnsi="Times New Roman"/>
          <w:sz w:val="24"/>
          <w:szCs w:val="24"/>
        </w:rPr>
        <w:t xml:space="preserve"> Numbers above the error bars indicate the number of species </w:t>
      </w:r>
      <w:r w:rsidR="00666783">
        <w:rPr>
          <w:rFonts w:ascii="Times New Roman" w:hAnsi="Times New Roman"/>
          <w:sz w:val="24"/>
          <w:szCs w:val="24"/>
        </w:rPr>
        <w:t>used in calculating the mean</w:t>
      </w:r>
      <w:r w:rsidR="00320C3A">
        <w:rPr>
          <w:rFonts w:ascii="Times New Roman" w:hAnsi="Times New Roman"/>
          <w:sz w:val="24"/>
          <w:szCs w:val="24"/>
        </w:rPr>
        <w:t>.</w:t>
      </w:r>
      <w:r w:rsidR="00666783">
        <w:rPr>
          <w:rFonts w:ascii="Times New Roman" w:hAnsi="Times New Roman"/>
          <w:sz w:val="24"/>
          <w:szCs w:val="24"/>
        </w:rPr>
        <w:t xml:space="preserve"> Data from Blanco and Sherman (2005).</w:t>
      </w:r>
    </w:p>
    <w:p w:rsidR="00DD443C" w:rsidRDefault="00DD443C"/>
    <w:p w:rsidR="00DD443C" w:rsidRDefault="00DD443C"/>
    <w:p w:rsidR="00DD443C" w:rsidRDefault="00DD443C"/>
    <w:p w:rsidR="00BF7343" w:rsidRDefault="00BF7343"/>
    <w:p w:rsidR="00BF7343" w:rsidRDefault="00BF7343"/>
    <w:p w:rsidR="00BF7343" w:rsidRDefault="00BF7343"/>
    <w:p w:rsidR="00BF7343" w:rsidRDefault="00BF7343"/>
    <w:p w:rsidR="00BF7343" w:rsidRDefault="00BF7343"/>
    <w:p w:rsidR="00BF7343" w:rsidRPr="00BF7343" w:rsidRDefault="00BF7343">
      <w:pPr>
        <w:rPr>
          <w:rFonts w:ascii="Times New Roman" w:hAnsi="Times New Roman"/>
          <w:sz w:val="24"/>
          <w:szCs w:val="24"/>
        </w:rPr>
      </w:pPr>
      <w:r w:rsidRPr="00BF7343">
        <w:rPr>
          <w:rFonts w:ascii="Times New Roman" w:hAnsi="Times New Roman"/>
          <w:b/>
          <w:sz w:val="24"/>
          <w:szCs w:val="24"/>
        </w:rPr>
        <w:lastRenderedPageBreak/>
        <w:t>Table S2</w:t>
      </w:r>
      <w:r w:rsidRPr="00BF734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Raw data for maximum longevity, maximum size</w:t>
      </w:r>
      <w:r w:rsidR="0061367B">
        <w:rPr>
          <w:rFonts w:ascii="Times New Roman" w:hAnsi="Times New Roman"/>
          <w:sz w:val="24"/>
          <w:szCs w:val="24"/>
        </w:rPr>
        <w:t xml:space="preserve"> (body length)</w:t>
      </w:r>
      <w:r>
        <w:rPr>
          <w:rFonts w:ascii="Times New Roman" w:hAnsi="Times New Roman"/>
          <w:sz w:val="24"/>
          <w:szCs w:val="24"/>
        </w:rPr>
        <w:t>, and presence/absence of chemical protection for amphibian species.</w:t>
      </w:r>
      <w:r w:rsidR="00057A31">
        <w:rPr>
          <w:rFonts w:ascii="Times New Roman" w:hAnsi="Times New Roman"/>
          <w:sz w:val="24"/>
          <w:szCs w:val="24"/>
        </w:rPr>
        <w:t xml:space="preserve"> See main text for data sources.</w:t>
      </w: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3503"/>
        <w:gridCol w:w="1976"/>
        <w:gridCol w:w="1795"/>
        <w:gridCol w:w="1196"/>
        <w:gridCol w:w="960"/>
      </w:tblGrid>
      <w:tr w:rsidR="008F3E25" w:rsidRPr="00BF7343" w:rsidTr="0061367B">
        <w:trPr>
          <w:trHeight w:val="300"/>
        </w:trPr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Species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Family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61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Longevity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(yrs)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61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Size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(cm)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613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Toxic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cingulatum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gracile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mabeei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macrodactylum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maculatum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opacum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talpoideum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texanum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Ambystoma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tigrinum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Ambystomatidae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Amphiuma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means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Amphiumidae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Amphiuma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tridactylum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Amphiumidae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Bombina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bombina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Bombinatoridae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Bombina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orientalis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Bombinatoridae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alvarius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americanus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boreas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canorus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cognatus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debilis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marinus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24.8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punctatus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quercicus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retiformis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speciosus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valliceps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viridis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Bufo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woodhousii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Bufonidae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Ceratophrys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cornuta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Ceratophryidae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Ceratophrys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ornata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Ceratophryidae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Conraua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goliath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Conrauidae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Andrias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japonicus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FC7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Cryptobranch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Cryptobranchus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alleganiensis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Cryptobranch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Dendrobates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auratus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Dendrobatidae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Dendrobates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pumilio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Dendrobatidae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Acris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crepitans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Agalychnis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callidryas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Hyla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andersonii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Hyla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avivoca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lastRenderedPageBreak/>
              <w:t>Hyla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chrysoscelis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Hyla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cinerea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Hyla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femoralis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Hyla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gratiosa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Hyla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squirella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Litoria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caerulea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Smilisca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baudinii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Smilisca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phaeota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Leptodactylus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pentadactylus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Leptodactylidae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Mantella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aurantiaca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Mantellidae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Gastrophryne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carolinensis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Microhylidae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Kaloula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pulchra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Microhylidae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Pelobates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fuscus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Pelobatidae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576010">
        <w:trPr>
          <w:trHeight w:val="300"/>
        </w:trPr>
        <w:tc>
          <w:tcPr>
            <w:tcW w:w="3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Pipa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pipa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Pipidae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7.7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576010">
        <w:trPr>
          <w:trHeight w:val="300"/>
        </w:trPr>
        <w:tc>
          <w:tcPr>
            <w:tcW w:w="3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Xenopus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laevis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Pipidae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576010">
        <w:trPr>
          <w:trHeight w:val="300"/>
        </w:trPr>
        <w:tc>
          <w:tcPr>
            <w:tcW w:w="3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Aneides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aeneus</w:t>
            </w:r>
            <w:proofErr w:type="spellEnd"/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3.3</w:t>
            </w: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Aneides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lugubris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Bolitoglossa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mexicana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Desmognathus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aeneus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Desmognathus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fuscus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Desmognathus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monticola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Desmognathus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ochrophaeus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Desmognathus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quadramaculatus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Desmognathus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welteri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Eurycea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wilderae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Gyrinophilus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palleucus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Gyrinophilus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porphyriticus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Haideotriton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wallacei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Hemidactylium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scutatum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Hydromantes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italicus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Phaeognathus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hubrichti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cinereus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dunni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elongatus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glutinosus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jordani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nettingi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vehiculum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welleri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Plethodon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yonahlossee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Pseudotriton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montanus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Plethodontidae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Necturus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maculosus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Proteidae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Necturus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punctatus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Proteidae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lastRenderedPageBreak/>
              <w:t xml:space="preserve">Proteus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anguinus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Proteidae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Pyxicephalus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adspersus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Pyxicephalidae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Rana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aurora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Ranidae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Rana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catesbeiana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Ranidae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Rana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heckscheri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Ranidae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Rana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pipiens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Ranidae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Rana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sylvatica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Ranidae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Rana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virgatipes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Ranidae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Rhyacotriton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olympicus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Rhyacotritonidae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Cynops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pyrrhogaster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Notophthalmus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perstriatus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Notophthalmus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viridescens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Pachytriton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brevipes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Paramesotriton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hongkongensis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Salamandra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salamandra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Taricha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granulosa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Taricha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rivularis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Taricha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torosa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Triturus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cristatus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Tylototriton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verrucosus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Salamandridae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Scaphiopus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couchii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Scraphiopodidae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61367B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Scaphiopus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holbrookii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Scraphiopodidae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8F3E25" w:rsidRPr="00BF7343" w:rsidTr="00576010">
        <w:trPr>
          <w:trHeight w:val="300"/>
        </w:trPr>
        <w:tc>
          <w:tcPr>
            <w:tcW w:w="3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Siren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intermedia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Sirenidae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6.9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68.6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8F3E25" w:rsidRPr="00BF7343" w:rsidTr="00576010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61367B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Siren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lacertina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Sirenidae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E25" w:rsidRPr="00BF7343" w:rsidRDefault="008F3E25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</w:tbl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Default="00BF7343">
      <w:pPr>
        <w:rPr>
          <w:rFonts w:ascii="Times New Roman" w:hAnsi="Times New Roman"/>
          <w:sz w:val="24"/>
          <w:szCs w:val="24"/>
        </w:rPr>
      </w:pPr>
    </w:p>
    <w:p w:rsidR="00BF7343" w:rsidRPr="00485883" w:rsidRDefault="00BF7343">
      <w:pPr>
        <w:rPr>
          <w:rFonts w:ascii="Times New Roman" w:hAnsi="Times New Roman"/>
          <w:sz w:val="24"/>
          <w:szCs w:val="24"/>
        </w:rPr>
      </w:pPr>
      <w:r w:rsidRPr="00485883">
        <w:rPr>
          <w:rFonts w:ascii="Times New Roman" w:hAnsi="Times New Roman"/>
          <w:b/>
          <w:sz w:val="24"/>
          <w:szCs w:val="24"/>
        </w:rPr>
        <w:lastRenderedPageBreak/>
        <w:t>Table S3</w:t>
      </w:r>
      <w:r w:rsidRPr="00485883">
        <w:rPr>
          <w:rFonts w:ascii="Times New Roman" w:hAnsi="Times New Roman"/>
          <w:sz w:val="24"/>
          <w:szCs w:val="24"/>
        </w:rPr>
        <w:t>: Raw data for maximum longevity, maximum size</w:t>
      </w:r>
      <w:r w:rsidR="0061367B">
        <w:rPr>
          <w:rFonts w:ascii="Times New Roman" w:hAnsi="Times New Roman"/>
          <w:sz w:val="24"/>
          <w:szCs w:val="24"/>
        </w:rPr>
        <w:t xml:space="preserve"> (body length)</w:t>
      </w:r>
      <w:r w:rsidRPr="00485883">
        <w:rPr>
          <w:rFonts w:ascii="Times New Roman" w:hAnsi="Times New Roman"/>
          <w:sz w:val="24"/>
          <w:szCs w:val="24"/>
        </w:rPr>
        <w:t>, and presence/absence of chemical protection for snake species.</w:t>
      </w:r>
      <w:r w:rsidR="00057A31">
        <w:rPr>
          <w:rFonts w:ascii="Times New Roman" w:hAnsi="Times New Roman"/>
          <w:sz w:val="24"/>
          <w:szCs w:val="24"/>
        </w:rPr>
        <w:t xml:space="preserve"> See main text for data sources.</w:t>
      </w:r>
    </w:p>
    <w:tbl>
      <w:tblPr>
        <w:tblW w:w="8992" w:type="dxa"/>
        <w:tblInd w:w="93" w:type="dxa"/>
        <w:tblLook w:val="04A0" w:firstRow="1" w:lastRow="0" w:firstColumn="1" w:lastColumn="0" w:noHBand="0" w:noVBand="1"/>
      </w:tblPr>
      <w:tblGrid>
        <w:gridCol w:w="3530"/>
        <w:gridCol w:w="1683"/>
        <w:gridCol w:w="1836"/>
        <w:gridCol w:w="1263"/>
        <w:gridCol w:w="960"/>
      </w:tblGrid>
      <w:tr w:rsidR="00576010" w:rsidRPr="00485883" w:rsidTr="0061367B">
        <w:trPr>
          <w:trHeight w:val="300"/>
        </w:trPr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Species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Family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BF7343" w:rsidRDefault="00576010" w:rsidP="007403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Longevity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(yrs)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BF7343" w:rsidRDefault="00576010" w:rsidP="007403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Size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 xml:space="preserve"> (cm)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BF7343" w:rsidRDefault="00576010" w:rsidP="007403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BF7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Toxic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Boa constrictor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Boidae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40.4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Arizona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elegans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Boiga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dendrophila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Dasypeltis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atra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Dasypeltis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scabra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Dispholidus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typus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Drymarchon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corais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Elaphe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quatuorlineata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Farancia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abacura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Heterodon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platirhinos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Hypsiglena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torquata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Lampropeltis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calligaster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Lampropeltis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getula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21.8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Lampropeltis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pyromelana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22.4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Lampropeltis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triangulum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21.3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Lampropeltis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zonata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26.3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Macroprotodon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cucullatus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Masticophis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flagellum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Natrix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natrix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Natrix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tessellata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Oxybelis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aeneus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Pituophis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melanoleucus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Ptyas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mucosa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Rhinocheilus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lecontei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Spalerosophis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diadema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Spilotes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pullatus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Storeria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occipitomaculata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Thamnophis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butleri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Thamnophis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couchii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Thamnophis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elegans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Thamnophis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proximus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Thamnophis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sauritus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Thamnophis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sirtalis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Thrasops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jacksonii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Colubridae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Aspidelaps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scutatus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Bungarus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caeruleus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Bungarus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fasciatus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13.2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Bungarus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multicinctus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Dendroaspis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polylepis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lastRenderedPageBreak/>
              <w:t>Elapsoidea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sundevallii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Hemachatus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haemachatus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Micruroides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euryxanthus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Micrurus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fulvius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Naja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atra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Naja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kaouthia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Naja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mossambica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Naja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naja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20.9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Naja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nigricollis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22.1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Naja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nivea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Notechis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scutatus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Ophiophagus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hannah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22.5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Pseudechis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australis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Pseudechis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porphyriacus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Walterinnesia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aegyptia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Elapidae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Enhydris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chinensis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Homalopsidae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Atractaspis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bibronii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Lamprophiidae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Leioheterodon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madagascariensis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Lamprophiidae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Psammophis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subtaeniatus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Lamprophiidae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Pseudaspis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cana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Lamprophiidae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Agkistrodon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bilineatus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24.3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Agkistrodon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contortrix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23.2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Agkistrodon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piscivorus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18.9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Agkistrodon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taylori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Atheris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squamigera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Bitis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arietans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Bitis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caudalis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Bitis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gabonica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Bitis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nasicornis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Bitis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worthingtoni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Bothrops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atrox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Bothrops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jararaca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Causus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rhombeatus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Cerastes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cerastes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Cerastes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vipera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adamanteus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22.8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atrox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25.8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basiliscus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16.038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cerastes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durissus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enyo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17.12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horridus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30.2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mitchellii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lastRenderedPageBreak/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molossus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20.7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oreganus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19.055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scutulatus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tigris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15.3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tortugensis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18.33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totonacus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viridis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Crotalus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willardi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21.3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Echis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carinatus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23.8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Echis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coloratus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19.3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Eristicophis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macmahoni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Lachesis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muta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24.2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Sistrurus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catenatus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Sistrurus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miliarius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11.8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Trimeresurus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gramineus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Vipera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ammodytes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Vipera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aspis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10.4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Vipera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berus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2.1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Vipera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latastei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9.7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76010" w:rsidRPr="00485883" w:rsidTr="0061367B">
        <w:trPr>
          <w:trHeight w:val="300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61367B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Vipera</w:t>
            </w:r>
            <w:proofErr w:type="spellEnd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136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CA"/>
              </w:rPr>
              <w:t>xanthina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Viperidae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12.7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010" w:rsidRPr="00485883" w:rsidRDefault="00576010" w:rsidP="00BF7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485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</w:tbl>
    <w:p w:rsidR="00BF7343" w:rsidRPr="00485883" w:rsidRDefault="00BF7343">
      <w:pPr>
        <w:rPr>
          <w:rFonts w:ascii="Times New Roman" w:hAnsi="Times New Roman"/>
          <w:sz w:val="24"/>
          <w:szCs w:val="24"/>
        </w:rPr>
      </w:pPr>
    </w:p>
    <w:sectPr w:rsidR="00BF7343" w:rsidRPr="00485883" w:rsidSect="009F1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02C3"/>
    <w:multiLevelType w:val="hybridMultilevel"/>
    <w:tmpl w:val="384065CA"/>
    <w:lvl w:ilvl="0" w:tplc="4E30FF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99"/>
    <w:rsid w:val="00025499"/>
    <w:rsid w:val="00035B6C"/>
    <w:rsid w:val="00035D77"/>
    <w:rsid w:val="00042404"/>
    <w:rsid w:val="000430A1"/>
    <w:rsid w:val="0004474A"/>
    <w:rsid w:val="00050FA2"/>
    <w:rsid w:val="00057A31"/>
    <w:rsid w:val="00061DB9"/>
    <w:rsid w:val="000965EB"/>
    <w:rsid w:val="00107280"/>
    <w:rsid w:val="00112A11"/>
    <w:rsid w:val="00115B34"/>
    <w:rsid w:val="0018370D"/>
    <w:rsid w:val="00190CF7"/>
    <w:rsid w:val="001B511B"/>
    <w:rsid w:val="001E5296"/>
    <w:rsid w:val="001E6747"/>
    <w:rsid w:val="001F767D"/>
    <w:rsid w:val="0021615D"/>
    <w:rsid w:val="002517C0"/>
    <w:rsid w:val="00290800"/>
    <w:rsid w:val="002D60F0"/>
    <w:rsid w:val="002E2AB7"/>
    <w:rsid w:val="002F0D50"/>
    <w:rsid w:val="00306F11"/>
    <w:rsid w:val="00317B3D"/>
    <w:rsid w:val="00320C3A"/>
    <w:rsid w:val="00320FDC"/>
    <w:rsid w:val="00343D85"/>
    <w:rsid w:val="003472E4"/>
    <w:rsid w:val="0035051A"/>
    <w:rsid w:val="003742C4"/>
    <w:rsid w:val="003A60EB"/>
    <w:rsid w:val="003A71B5"/>
    <w:rsid w:val="003B1A48"/>
    <w:rsid w:val="003B5AA2"/>
    <w:rsid w:val="003B6293"/>
    <w:rsid w:val="003D0B8C"/>
    <w:rsid w:val="003D4028"/>
    <w:rsid w:val="003D7726"/>
    <w:rsid w:val="003E34E8"/>
    <w:rsid w:val="003F1B11"/>
    <w:rsid w:val="00435E33"/>
    <w:rsid w:val="00453679"/>
    <w:rsid w:val="00483FE2"/>
    <w:rsid w:val="00485883"/>
    <w:rsid w:val="004B6B48"/>
    <w:rsid w:val="004C43A2"/>
    <w:rsid w:val="004D2EC3"/>
    <w:rsid w:val="004D3250"/>
    <w:rsid w:val="004D73FC"/>
    <w:rsid w:val="004F3E12"/>
    <w:rsid w:val="00501629"/>
    <w:rsid w:val="00506C57"/>
    <w:rsid w:val="00512444"/>
    <w:rsid w:val="005131C3"/>
    <w:rsid w:val="00543718"/>
    <w:rsid w:val="00547574"/>
    <w:rsid w:val="005631CF"/>
    <w:rsid w:val="00576010"/>
    <w:rsid w:val="00583C2B"/>
    <w:rsid w:val="005B0689"/>
    <w:rsid w:val="005B6F81"/>
    <w:rsid w:val="005D1BA4"/>
    <w:rsid w:val="005E321F"/>
    <w:rsid w:val="0061367B"/>
    <w:rsid w:val="00625B03"/>
    <w:rsid w:val="00632558"/>
    <w:rsid w:val="00654FEE"/>
    <w:rsid w:val="00666783"/>
    <w:rsid w:val="006735DB"/>
    <w:rsid w:val="00693515"/>
    <w:rsid w:val="006B3FE2"/>
    <w:rsid w:val="0071385D"/>
    <w:rsid w:val="00734E5B"/>
    <w:rsid w:val="007403EA"/>
    <w:rsid w:val="00756797"/>
    <w:rsid w:val="00783735"/>
    <w:rsid w:val="007934AB"/>
    <w:rsid w:val="007B1914"/>
    <w:rsid w:val="007D04FC"/>
    <w:rsid w:val="008060A6"/>
    <w:rsid w:val="008111A3"/>
    <w:rsid w:val="0083787C"/>
    <w:rsid w:val="008B0C3F"/>
    <w:rsid w:val="008E0903"/>
    <w:rsid w:val="008F30FB"/>
    <w:rsid w:val="008F3E25"/>
    <w:rsid w:val="009125FA"/>
    <w:rsid w:val="00915D2E"/>
    <w:rsid w:val="00915DB2"/>
    <w:rsid w:val="009356E4"/>
    <w:rsid w:val="00937561"/>
    <w:rsid w:val="0093777F"/>
    <w:rsid w:val="00943E37"/>
    <w:rsid w:val="00945C14"/>
    <w:rsid w:val="009631EF"/>
    <w:rsid w:val="0097556A"/>
    <w:rsid w:val="009811AF"/>
    <w:rsid w:val="009A058B"/>
    <w:rsid w:val="009B502B"/>
    <w:rsid w:val="009D22CD"/>
    <w:rsid w:val="009F1E01"/>
    <w:rsid w:val="00A32A6D"/>
    <w:rsid w:val="00A403F1"/>
    <w:rsid w:val="00AA56E9"/>
    <w:rsid w:val="00AA5B7E"/>
    <w:rsid w:val="00AA6882"/>
    <w:rsid w:val="00AC5C85"/>
    <w:rsid w:val="00B15332"/>
    <w:rsid w:val="00B826D9"/>
    <w:rsid w:val="00B926EA"/>
    <w:rsid w:val="00B95195"/>
    <w:rsid w:val="00BA0EEE"/>
    <w:rsid w:val="00BD7402"/>
    <w:rsid w:val="00BF7343"/>
    <w:rsid w:val="00C03D5F"/>
    <w:rsid w:val="00C11722"/>
    <w:rsid w:val="00C12689"/>
    <w:rsid w:val="00C62D9F"/>
    <w:rsid w:val="00C67097"/>
    <w:rsid w:val="00CA5F61"/>
    <w:rsid w:val="00D16989"/>
    <w:rsid w:val="00D37B99"/>
    <w:rsid w:val="00D42BA0"/>
    <w:rsid w:val="00D470B8"/>
    <w:rsid w:val="00D47CFB"/>
    <w:rsid w:val="00D553F1"/>
    <w:rsid w:val="00D97E94"/>
    <w:rsid w:val="00DD0921"/>
    <w:rsid w:val="00DD443C"/>
    <w:rsid w:val="00DE18DE"/>
    <w:rsid w:val="00DF0FFF"/>
    <w:rsid w:val="00E22E1C"/>
    <w:rsid w:val="00E34A1D"/>
    <w:rsid w:val="00E7362F"/>
    <w:rsid w:val="00E77BB5"/>
    <w:rsid w:val="00E9202B"/>
    <w:rsid w:val="00EF6038"/>
    <w:rsid w:val="00F173F3"/>
    <w:rsid w:val="00F26615"/>
    <w:rsid w:val="00F345C7"/>
    <w:rsid w:val="00FB3D7B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2F669-2A9E-4872-B623-4CF9F07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D73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43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631EF"/>
    <w:rPr>
      <w:sz w:val="20"/>
      <w:szCs w:val="20"/>
    </w:rPr>
  </w:style>
  <w:style w:type="table" w:customStyle="1" w:styleId="LightShading1">
    <w:name w:val="Light Shading1"/>
    <w:basedOn w:val="TableNormal"/>
    <w:uiPriority w:val="60"/>
    <w:rsid w:val="003D40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2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1F1B-ACB0-4C66-B620-1F54DFA7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Hossie</dc:creator>
  <cp:lastModifiedBy>Thomas Hossie</cp:lastModifiedBy>
  <cp:revision>2</cp:revision>
  <dcterms:created xsi:type="dcterms:W3CDTF">2014-01-20T19:16:00Z</dcterms:created>
  <dcterms:modified xsi:type="dcterms:W3CDTF">2014-01-20T19:16:00Z</dcterms:modified>
</cp:coreProperties>
</file>